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16 OR 15d-16 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32"/>
          <w:szCs w:val="32"/>
          <w:b w:val="1"/>
          <w:bCs w:val="1"/>
          <w:color w:val="auto"/>
        </w:rPr>
        <w:t>Chagee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Tower B, Hongqiao Lianhe Building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99 Kaihong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Changning District, Shanghai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 200051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1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Junjie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0" w:right="1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titled “Chagee Announces Fourth Quarter and Full Year 2025 Unaudited Financial Results”</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560" w:type="dxa"/>
            <w:vAlign w:val="bottom"/>
            <w:tcBorders>
              <w:top w:val="single" w:sz="8" w:color="0000EE"/>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158750</wp:posOffset>
            </wp:positionV>
            <wp:extent cx="89154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Announces Fourth Quarter and Full Year 2025 Unaudited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March 31, 2026 (GLOBE NEWSWIRE) -- Chagee Holdings Limited (NASDAQ: CHA) (“Chagee” or the “Company”), a leading premium tea drinks brand serving healthy and delicious freshly-made tea drinks, today announced its unaudited financial results for the fourth quarter and full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Operational Highlights</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there were 7,453 teahouses within the Company’s teahouse network in Greater China and overseas, representing a 15.7% increase in the number of teahouses as of December 31, 2024.</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GMV generated in the fourth quarter of 2025 was RMB7,322.9 million. Geographically, total GMV generated in overseas markets was RMB371.9 million in the fourth quarter of 2025, representing an 84.6% year-over-year increase; total GMV generated in Greater China market was RMB6,951.0 million, compared to RMB7,975.7 million in the same quarter of 2024. Total GMV generated throughout 2025 was RMB31.58 billion, representing a 7.2% year-over-year increase from RMB29.46 billion in 2024.</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GMV per teahouse in Greater China was RMB337,358 in the fourth quarter of 2025, and RMB386,518 in the full year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Financial Highlights</w:t>
      </w:r>
    </w:p>
    <w:p>
      <w:pPr>
        <w:spacing w:after="0" w:line="229" w:lineRule="exact"/>
        <w:rPr>
          <w:sz w:val="20"/>
          <w:szCs w:val="20"/>
          <w:color w:val="auto"/>
        </w:rPr>
      </w:pPr>
    </w:p>
    <w:p>
      <w:pPr>
        <w:jc w:val="both"/>
        <w:ind w:left="660" w:hanging="31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 the fourth quarter of 2025, net revenues were RMB2,974.5 million (US$425.3 million), compared to RMB3,334.4 million in the same quarter of 2024. For the full year 2025, net revenues increased by 4.0% to RMB 12.91 billion (US$1,845.7 million).</w:t>
      </w:r>
    </w:p>
    <w:p>
      <w:pPr>
        <w:spacing w:after="0" w:line="162" w:lineRule="exact"/>
        <w:rPr>
          <w:sz w:val="20"/>
          <w:szCs w:val="20"/>
          <w:color w:val="auto"/>
        </w:rPr>
      </w:pPr>
    </w:p>
    <w:p>
      <w:pPr>
        <w:jc w:val="both"/>
        <w:ind w:left="660" w:hanging="31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 the fourth quarter of 2025, we reported an operating loss of RMB35.5 million (US$5.1 million), which was primarily attributable to the impact from organizational structure optimization and business model transition incurred during the quarter, as well as the impact of share-based compensation expenses, compared to an operating income of RMB642.5 million in the same quarter of 2024. For the full year 2025, operating income was RMB1,347.2 million (US$192.7 million), representing an operating margin of 10.4%, compared to RMB2,886.6 million, or an operating margin of 23.3%, in 2024.</w:t>
      </w:r>
    </w:p>
    <w:p>
      <w:pPr>
        <w:spacing w:after="0" w:line="183" w:lineRule="exact"/>
        <w:rPr>
          <w:sz w:val="20"/>
          <w:szCs w:val="20"/>
          <w:color w:val="auto"/>
        </w:rPr>
      </w:pPr>
    </w:p>
    <w:p>
      <w:pPr>
        <w:jc w:val="both"/>
        <w:ind w:left="660" w:right="20" w:hanging="31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 the fourth quarter of 2025, GAAP net income was RMB33.9 million (US$4.9 million), compared to RMB644.1 million in the same quarter of 2024. For the full year 2025, GAAP net income was RMB1,186.3 million (US$169.6 million), compared to RMB2,514.6 million in 2024.</w:t>
      </w:r>
    </w:p>
    <w:p>
      <w:pPr>
        <w:spacing w:after="0" w:line="162" w:lineRule="exact"/>
        <w:rPr>
          <w:sz w:val="20"/>
          <w:szCs w:val="20"/>
          <w:color w:val="auto"/>
        </w:rPr>
      </w:pPr>
    </w:p>
    <w:p>
      <w:pPr>
        <w:jc w:val="both"/>
        <w:ind w:left="660" w:hanging="31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 the fourth quarter of 2025, non-GAAP net income, which adjusts for share-based compensation expenses in the amount of RMB66.1 million, was RMB100.0 million (US$14.3 million), compared to RMB644.1 million in the same quarter of 2024. For the full year 2025, non-GAAP net income, which adjusts for share-based compensation expenses in the amount of RMB723.5 million, was RMB1,909.9 million (US$273.1 million), compared to RMB2,515.2 million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Please refer to the section “Key Definitions” for detailed definitions on certain terms used.</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586105</wp:posOffset>
            </wp:positionV>
            <wp:extent cx="89154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RMB2,974.5 million (US$425.3 million), compared to RMB3,334.4 million in the same quarter of 2024.</w:t>
      </w:r>
    </w:p>
    <w:p>
      <w:pPr>
        <w:spacing w:after="0" w:line="225" w:lineRule="exact"/>
        <w:rPr>
          <w:sz w:val="20"/>
          <w:szCs w:val="20"/>
          <w:color w:val="auto"/>
        </w:rPr>
      </w:pPr>
    </w:p>
    <w:p>
      <w:pPr>
        <w:jc w:val="both"/>
        <w:ind w:left="66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from franchised teahouses </w:t>
      </w:r>
      <w:r>
        <w:rPr>
          <w:rFonts w:ascii="Times New Roman" w:cs="Times New Roman" w:eastAsia="Times New Roman" w:hAnsi="Times New Roman"/>
          <w:sz w:val="18"/>
          <w:szCs w:val="18"/>
          <w:color w:val="auto"/>
        </w:rPr>
        <w:t>in the fourth quarter of 2025 were RMB2,434.9 million (US$348.2 million), compared to RMB3,095.9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2024. This was primarily due to the timing and cadence of new product launches during the respective periods and the evolving dynamics of subsidy competition among online delivery platforms in China. Net revenues from franchised teahouses represented 81.9% of the Company’s total net revenues for the fourth quarter of 2025.</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from company-owned teahouses </w:t>
      </w:r>
      <w:r>
        <w:rPr>
          <w:rFonts w:ascii="Times New Roman" w:cs="Times New Roman" w:eastAsia="Times New Roman" w:hAnsi="Times New Roman"/>
          <w:sz w:val="18"/>
          <w:szCs w:val="18"/>
          <w:color w:val="auto"/>
        </w:rPr>
        <w:t>in the fourth quarter of 2025 were RMB539.6 million (US$77.2 million), representing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126.2% from RMB238.6 million in the same quarter of 2024. The increase was mainly attributable to the conversion in the Company’s domestic teahouse composition and the continued expansion of the company-owned teahouse network in international markets. Net revenues from company-owned teahouses represented 18.1% of the Company’s total net revenues for the fourth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RMB3,010.0 million (US$430.4 million), compared to RMB2,691.9 million in the same quarter of 2024.</w:t>
      </w:r>
    </w:p>
    <w:p>
      <w:pPr>
        <w:spacing w:after="0" w:line="225" w:lineRule="exact"/>
        <w:rPr>
          <w:sz w:val="20"/>
          <w:szCs w:val="20"/>
          <w:color w:val="auto"/>
        </w:rPr>
      </w:pPr>
    </w:p>
    <w:p>
      <w:pPr>
        <w:jc w:val="both"/>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materials, storage and logistics </w:t>
      </w:r>
      <w:r>
        <w:rPr>
          <w:rFonts w:ascii="Times New Roman" w:cs="Times New Roman" w:eastAsia="Times New Roman" w:hAnsi="Times New Roman"/>
          <w:sz w:val="18"/>
          <w:szCs w:val="18"/>
          <w:color w:val="auto"/>
        </w:rPr>
        <w:t>was RMB1,392.6 million (US$199.1 million), representing a decrease of 13.7% from RMB1,614.3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2024. The decrease was mainly attributable to reduced cost of raw materials and packaging materials, which generally corresponded with the decline in store sales, as well as enhanced cost management initiatives implemented throughout the supply chain. The decrease also reflects improved pricing power, partially offset by costs associated with selected ingredient upgrades to enhance product flavors and tastes.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Company-owned teahouse operating costs </w:t>
      </w:r>
      <w:r>
        <w:rPr>
          <w:rFonts w:ascii="Times New Roman" w:cs="Times New Roman" w:eastAsia="Times New Roman" w:hAnsi="Times New Roman"/>
          <w:sz w:val="18"/>
          <w:szCs w:val="18"/>
          <w:color w:val="auto"/>
        </w:rPr>
        <w:t>were RMB376.8 million (US$53.9 million), representing an increase of 130.8% from RMB163.2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2024. The increase mainly resulted from the addition of 446 company-owned teahouses in both Greater China and overseas markets, which led to higher payroll, store rental, utilities, and other store operating expenses.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operating costs </w:t>
      </w:r>
      <w:r>
        <w:rPr>
          <w:rFonts w:ascii="Times New Roman" w:cs="Times New Roman" w:eastAsia="Times New Roman" w:hAnsi="Times New Roman"/>
          <w:sz w:val="18"/>
          <w:szCs w:val="18"/>
          <w:color w:val="auto"/>
        </w:rPr>
        <w:t>were RMB231.4 million (US$33.1 million), representing an increase of 26.9% from RMB182.4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This was mainly due to (i) an increase of RMB21.0 million in payroll expenses (excluding share-based compensation expenses of RMB5.9 million), driven by a larger employee base to support the continued teahouse network expansion and growing overseas operations, and (ii) an increase of RMB5.9 million in share-based compensation expenses. Other operating costs as a percentage of total net revenues were 7.8%, compared to 5.5% in the same quarter of 2024.</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RMB373.6 million (US$53.4 million), representing a decrease of 5.6% from RMB395.7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This was mainly driven by lower advertising expenses aligned with cadence of new product launches. Sales and marketing expenses as a percentage of total net revenues were 12.6%, compared to 11.9% in the same quarter of 2024.</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586105</wp:posOffset>
            </wp:positionV>
            <wp:extent cx="89154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RMB635.6 million (US$90.9 million), representing an increase of 89.0% from RMB336.3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2024. This includes costs from a targeted organizational restructuring to support more agile and efficient operations. The increase reflects the Company's continued investment in its global corporate infrastructure to support international expansion, alongside costs associated with ongoing initiatives to optimize internal processes and resource allocation. This also includes an increase of RMB50.9 million in share-based compensation expenses. General and administrative expenses as a percentage of total net revenues were 21.4%, compared to 10.1% in the same quarter of 2024.</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RMB33.9 million (US$4.9 million) in the fourth quarter of 2025, representing a net income margin of 1.1%, compared to RMB644.1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a net income margin of 19.3%, in the same quarter of 2024. Net income for the period was supported by financial income from interest earned on the Company’s cash and investment balances and other income, primarily government grants, which helped offset continued investments in the business and supported profitability during the quarter.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net income </w:t>
      </w:r>
      <w:r>
        <w:rPr>
          <w:rFonts w:ascii="Times New Roman" w:cs="Times New Roman" w:eastAsia="Times New Roman" w:hAnsi="Times New Roman"/>
          <w:sz w:val="18"/>
          <w:szCs w:val="18"/>
          <w:color w:val="auto"/>
        </w:rPr>
        <w:t>was RMB100.0 million (US$14.3 million) in the fourth quarter of 2025, representing a non-GAAP net income margin of 3.4%,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RMB644.1 million, or a non-GAAP net income margin of 19.3%, in the same quarter of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income per ordinary share </w:t>
      </w:r>
      <w:r>
        <w:rPr>
          <w:rFonts w:ascii="Times New Roman" w:cs="Times New Roman" w:eastAsia="Times New Roman" w:hAnsi="Times New Roman"/>
          <w:sz w:val="18"/>
          <w:szCs w:val="18"/>
          <w:color w:val="auto"/>
        </w:rPr>
        <w:t>were both RMB0.15 (US$0.02) in the fourth quarter of 2025, compared to RMB3.69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Non-GAAP basic net income per ordinary share </w:t>
      </w:r>
      <w:r>
        <w:rPr>
          <w:rFonts w:ascii="Times New Roman" w:cs="Times New Roman" w:eastAsia="Times New Roman" w:hAnsi="Times New Roman"/>
          <w:sz w:val="18"/>
          <w:szCs w:val="18"/>
          <w:color w:val="auto"/>
        </w:rPr>
        <w:t>was RMB0.50 (US$0.07) in the fourth quarter of 2025, compared to RMB3.69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18"/>
          <w:szCs w:val="18"/>
          <w:b w:val="1"/>
          <w:bCs w:val="1"/>
          <w:color w:val="auto"/>
        </w:rPr>
        <w:t>Non-GAAP diluted net income per ordinary share</w:t>
      </w:r>
      <w:r>
        <w:rPr>
          <w:rFonts w:ascii="Times New Roman" w:cs="Times New Roman" w:eastAsia="Times New Roman" w:hAnsi="Times New Roman"/>
          <w:sz w:val="18"/>
          <w:szCs w:val="18"/>
          <w:color w:val="auto"/>
        </w:rPr>
        <w:t xml:space="preserve"> was RMB0.49 (US$0.07) in the fourth quarter of 2025, compared to RMB3.69 in the same quarter of 2024.</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and time deposits </w:t>
      </w:r>
      <w:r>
        <w:rPr>
          <w:rFonts w:ascii="Times New Roman" w:cs="Times New Roman" w:eastAsia="Times New Roman" w:hAnsi="Times New Roman"/>
          <w:sz w:val="18"/>
          <w:szCs w:val="18"/>
          <w:color w:val="auto"/>
        </w:rPr>
        <w:t>were RMB7,892.4 million (US$1,128.6 million) as of December 31, 2025,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RMB4,868.7 million as of December 31, 2024.</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586105</wp:posOffset>
            </wp:positionV>
            <wp:extent cx="89154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0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For the three months ended/As of</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08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 31, 2025</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 30, 2025</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 30, 2025</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100" w:type="dxa"/>
            <w:vAlign w:val="bottom"/>
          </w:tcPr>
          <w:p>
            <w:pPr>
              <w:spacing w:after="0"/>
              <w:rPr>
                <w:sz w:val="19"/>
                <w:szCs w:val="19"/>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teahouses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6,440</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Franchised teahouses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6,271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6,838</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6,145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6,700</w:t>
            </w: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teahouses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GMV (RMB in million)</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8,177.2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8,226.8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8,103.1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7,929.5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7,322.9</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7,975.7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7,629.2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6,951.0</w:t>
            </w: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371.9</w:t>
            </w:r>
          </w:p>
        </w:tc>
      </w:tr>
      <w:tr>
        <w:trPr>
          <w:trHeight w:val="194"/>
        </w:trPr>
        <w:tc>
          <w:tcPr>
            <w:tcW w:w="4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monthly GMV per teahouse in Greater</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China (RMB)</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455,996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431,973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404,352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378,506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337,358</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 store GMV growth</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(25.5)%</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evolving consumption patterns and diversifying channels in China, the Company optimized its methodology for measuring active membership engagement, effective as of the quarter ended December 31, 2025. This revised approach expands tracking beyond the Company’s mobile mini program to encompass traceable member activity across other third-party online delivery and social networking platforms. Management believes this adjustment provides a more comprehensive assessment of user engagement across an expanding digital ecosystem.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the Company has updated its definition of “active members” to capture member accounts registered through any channel of the Company’s membership program, including the Company's mobile mini program and third-party platforms such as Taobao Instant Commerce and Meituan, that have placed at least one product order during a given period. This updated definition better reflects the Company’s omni-channel member engagement strategy and provides enhanced visibility into customer traffic and loyalty. Under the revised methodology, active members totaled approximately 44.7 million for the quarter ended December 31, 2025.</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586105</wp:posOffset>
            </wp:positionV>
            <wp:extent cx="89154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GMV </w:t>
      </w:r>
      <w:r>
        <w:rPr>
          <w:rFonts w:ascii="Times New Roman" w:cs="Times New Roman" w:eastAsia="Times New Roman" w:hAnsi="Times New Roman"/>
          <w:sz w:val="18"/>
          <w:szCs w:val="18"/>
          <w:color w:val="auto"/>
        </w:rPr>
        <w:t>(gross merchandise value) refers to gross merchandise value, a key operating metric that the Company’s management uses to measure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 teahouses’ sales performance, which represents the sales value of product(s) in consumer orders (excluding unfulfilled, canceled or returned consumer orders, and including relevant value-added taxes) before discounts, if any, are applied, including shipping charges paid by consumers for orders placed on its mobile mini program, but excluding those charges paid by consumers for orders placed on other third-party online delivery platforms.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monthly GMV per teahouse in Greater China </w:t>
      </w:r>
      <w:r>
        <w:rPr>
          <w:rFonts w:ascii="Times New Roman" w:cs="Times New Roman" w:eastAsia="Times New Roman" w:hAnsi="Times New Roman"/>
          <w:sz w:val="18"/>
          <w:szCs w:val="18"/>
          <w:color w:val="auto"/>
        </w:rPr>
        <w:t>is calculated by dividing (i) the sum of GMV generated by the monthly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teahouses in Greater China in each calendar month during the specific period by (ii) the sum of the total number of the monthly fully operational teahouses in Greater China in each calendar month during the corresponding period.</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 store GMV growth </w:t>
      </w:r>
      <w:r>
        <w:rPr>
          <w:rFonts w:ascii="Times New Roman" w:cs="Times New Roman" w:eastAsia="Times New Roman" w:hAnsi="Times New Roman"/>
          <w:sz w:val="18"/>
          <w:szCs w:val="18"/>
          <w:color w:val="auto"/>
        </w:rPr>
        <w:t>refers to the growth rate of GMV generated by same stores in Greater China and/or overseas during that specific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GMV generated by these same stores during the corresponding period in the preceding year. Same stores are defined to be teahouses that (i) have been in operation for at least 13 months, and (ii) without material operational changes in both comparison periods.</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 </w:t>
      </w:r>
      <w:r>
        <w:rPr>
          <w:rFonts w:ascii="Times New Roman" w:cs="Times New Roman" w:eastAsia="Times New Roman" w:hAnsi="Times New Roman"/>
          <w:sz w:val="18"/>
          <w:szCs w:val="18"/>
          <w:color w:val="auto"/>
        </w:rPr>
        <w:t>Calculated by net income excluding share-based compensation expenses.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 per share.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management team will hold a conference call at 8:00 A.M. U.S. Eastern Time on Tuesday, March 31, 2026 (or 8:00 P.M. Hong Kong Time on the same day) to discuss the financial results. Details for the conference call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Event Title:</w:t>
            </w: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Chagee Holdings Limited Fourth Quarter 2025 Earnings Conference Call</w:t>
            </w:r>
          </w:p>
        </w:tc>
      </w:tr>
      <w:tr>
        <w:trPr>
          <w:trHeight w:val="194"/>
        </w:trPr>
        <w:tc>
          <w:tcPr>
            <w:tcW w:w="1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Registration Link:</w:t>
            </w:r>
          </w:p>
        </w:tc>
        <w:tc>
          <w:tcPr>
            <w:tcW w:w="63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https://register-conf.media-server.com/register/BIa06ab2deb0404e3196e436a7462d4f19</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participants must use the link provided above to complete the online registration process in advance of the conference call. Upon registering, each participant will receive a set of participant dial-in numbers and a unique access PIN, which can be used to join the conference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be available at the Company’s investor relations website at investor.chagee.com.</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586105</wp:posOffset>
            </wp:positionV>
            <wp:extent cx="89154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Chagee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Chagee is a leading premium tea drinks brand, serving healthy and delicious freshly-made tea drinks. Founded in 2017, Chagee has transformed traditional tea culture into a modern lifestyle experience, leveraging cutting-edge technology and innovative branding. With its commitment to quality, innovation, and cultural connection, Chagee continues to reshape the global tea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non-GAAP net income, a non-GAAP financial measure, as a supplemental measure to review and assess the operating performance. The presentation of this non-GAAP financial measure is not intended to be considered in isolation or as a substitute for the financial information prepared and presented in accordance with U.S. GAAP. The Company presents this non-GAAP financial measure because it is used by the management to evaluate the operating performance and formulate business plans. The Company also believes that the use of this non-GAAP measure facilitates investors’ assessment of the operating performance.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non-GAAP financial measure is not defined under U.S. GAAP and is not presented in accordance with U.S. GAAP. This non-GAAP financial measure has limitations as an analytical tool. One of the key limitations of using this non-GAAP financial measure is that it does not reflect all items of income and expense that affect the operations. Further, this non-GAAP measure may differ from the non-GAAP information used by other companies, including peer companies, and therefore its comparability may be limited. The Company compensates for these limitations by reconciling this non-GAAP financial measures to the nearest U.S. GAAP performance measure, all of which should be considered when evaluating the performance. The Company encourages you to review the financial information in its entirety and not rely on a single financial measure.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non-GAAP financial measure reflects adjustments for share-based compensation expense. The Company believes that the exclusion of share-based compensation expense is appropriate because it eliminates the impact of non-cash expenses that are based upon valuation methodologies and assumptions that vary over time, and the amount of the expense can vary significantly between companies due to factors that are unrelated to their core operating performance and that can be outside of their control. Although the Company excludes share-based compensation expense from the non-GAAP measure, equity compensation has been, and will continue to be, an important part of future compensation strategy and a significant component of future expenses and may increase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specified rates solely for the convenience of the reader. Unless otherwise noted, all translations from RMB to U.S. dollars are made at a rate of RMB6.9931 to US$1.00, the exchange rate set forth in the H.10 statistical release of the Board of Governors of the Federal Reserve System as of December 31, 2025.</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586105</wp:posOffset>
            </wp:positionV>
            <wp:extent cx="89154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Section 21E of the U.S.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Chagee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Chagee’s beliefs and expectations, including its beliefs and expectations on overseas development, are forward-looking statements. Forward-looking statements involve inherent risks and uncertainties. A number of factors could cause actual results to differ materially from those contained in any forward-looking statement, including but not limited to the following: Chagee’s growth strategies; its future business development, results of operations and financial condition; its ability to retain and attract its customers; its ability to expand into overseas markets as expected; its ability to maintain and enhance the recognition and reputation of its brand; its ability to maintain and improve quality control policies and measures; its ability to establish and maintain relationships with its suppliers and business partners; trends and competition in China’s freshly-made tea drinks industry or China’s food and beverage sector in general; changes in its revenues and certain cost or expense items; the expected growth of China’s freshly-made tea drinks industry or China’s food and beverage sector in general; governmental policies and regulations relating to Chagee’s industry; and general economic and business conditions globally and in China and assumptions underlying or related to any of the foregoing. Further information regarding these and other risks, uncertainties or factors is included in Chagee’s filings with the SEC. All information provided in this press release and in the attachments is as of the date of this press release, and Chagee undertakes no obligation to update any forward-looking statement, except as required under applicable law.</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586105</wp:posOffset>
            </wp:positionV>
            <wp:extent cx="89154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Chagee.IR@icrinc.com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537-5825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Burgess, SVP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Chagee.PR@icrinc.com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586105</wp:posOffset>
            </wp:positionV>
            <wp:extent cx="89154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1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6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4,754,783</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7,607,270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1,087,825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13,898</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26,156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259,000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37,037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100,093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121,967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145,903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20,864</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132,069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228,009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32,605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315,404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481,913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68,913</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5,439,668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8,850,429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249,003</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583,670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83,464</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253,210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402,821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542,202</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1,275,805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182,438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11,837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97,985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8,440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12,078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89,343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238,086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34,044</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1,156,438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2,612,554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Borders>
              <w:bottom w:val="single" w:sz="8" w:color="CCEEFF"/>
            </w:tcBorders>
            <w:vMerge w:val="continue"/>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6,596,106</w:t>
            </w:r>
          </w:p>
        </w:tc>
        <w:tc>
          <w:tcPr>
            <w:tcW w:w="240" w:type="dxa"/>
            <w:vAlign w:val="bottom"/>
            <w:tcBorders>
              <w:bottom w:val="single" w:sz="8" w:color="CCEEFF"/>
            </w:tcBorders>
            <w:vMerge w:val="continue"/>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11,462,983</w:t>
            </w:r>
          </w:p>
        </w:tc>
        <w:tc>
          <w:tcPr>
            <w:tcW w:w="200" w:type="dxa"/>
            <w:vAlign w:val="bottom"/>
            <w:tcBorders>
              <w:bottom w:val="single" w:sz="8" w:color="CCEEFF"/>
            </w:tcBorders>
            <w:vMerge w:val="continue"/>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1,639,185</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597,091</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629,789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90,059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265,341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293,706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41,999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217,387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174,746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24,988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195,438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424,363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60,683</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1,022,671</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1,327,348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189,810</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2,297,928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2,849,952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407,539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257,305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185,996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26,597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352,618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849,936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121,539</w:t>
            </w:r>
          </w:p>
        </w:tc>
        <w:tc>
          <w:tcPr>
            <w:tcW w:w="0" w:type="dxa"/>
            <w:vAlign w:val="bottom"/>
          </w:tcPr>
          <w:p>
            <w:pPr>
              <w:spacing w:after="0"/>
              <w:rPr>
                <w:sz w:val="1"/>
                <w:szCs w:val="1"/>
                <w:color w:val="auto"/>
              </w:rPr>
            </w:pPr>
          </w:p>
        </w:tc>
      </w:tr>
      <w:tr>
        <w:trPr>
          <w:trHeight w:val="26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609,923</w:t>
            </w:r>
          </w:p>
        </w:tc>
        <w:tc>
          <w:tcPr>
            <w:tcW w:w="24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1,035,932</w:t>
            </w:r>
          </w:p>
        </w:tc>
        <w:tc>
          <w:tcPr>
            <w:tcW w:w="20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148,136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2,907,851</w:t>
            </w:r>
          </w:p>
        </w:tc>
        <w:tc>
          <w:tcPr>
            <w:tcW w:w="24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3,885,884</w:t>
            </w:r>
          </w:p>
        </w:tc>
        <w:tc>
          <w:tcPr>
            <w:tcW w:w="20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555,675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603250</wp:posOffset>
            </wp:positionV>
            <wp:extent cx="89154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1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660" w:type="dxa"/>
            <w:vAlign w:val="bottom"/>
            <w:tcBorders>
              <w:top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933,780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(210,082)</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(210,082)</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(30,041)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90,853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3,696,445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528,585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18,437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34,913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2,752,024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3,886,242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555,725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2,597</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(65,858)</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(9,418)</w:t>
            </w:r>
          </w:p>
        </w:tc>
        <w:tc>
          <w:tcPr>
            <w:tcW w:w="0" w:type="dxa"/>
            <w:vAlign w:val="bottom"/>
          </w:tcPr>
          <w:p>
            <w:pPr>
              <w:spacing w:after="0"/>
              <w:rPr>
                <w:sz w:val="1"/>
                <w:szCs w:val="1"/>
                <w:color w:val="auto"/>
              </w:rPr>
            </w:pPr>
          </w:p>
        </w:tc>
      </w:tr>
      <w:tr>
        <w:trPr>
          <w:trHeight w:val="26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of the Company</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2,653,905</w:t>
            </w:r>
          </w:p>
        </w:tc>
        <w:tc>
          <w:tcPr>
            <w:tcW w:w="24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7,341,802</w:t>
            </w:r>
          </w:p>
        </w:tc>
        <w:tc>
          <w:tcPr>
            <w:tcW w:w="20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1,049,863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Non-controlling interests</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100,570</w:t>
            </w:r>
          </w:p>
        </w:tc>
        <w:tc>
          <w:tcPr>
            <w:tcW w:w="24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235,297</w:t>
            </w:r>
          </w:p>
        </w:tc>
        <w:tc>
          <w:tcPr>
            <w:tcW w:w="20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33,647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2,754,475</w:t>
            </w:r>
          </w:p>
        </w:tc>
        <w:tc>
          <w:tcPr>
            <w:tcW w:w="2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7,577,099</w:t>
            </w:r>
          </w:p>
        </w:tc>
        <w:tc>
          <w:tcPr>
            <w:tcW w:w="2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1,083,510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3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6,596,106</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11,462,983</w:t>
            </w: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1,639,185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586105</wp:posOffset>
            </wp:positionV>
            <wp:extent cx="89154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20" w:type="dxa"/>
            <w:vAlign w:val="bottom"/>
            <w:gridSpan w:val="7"/>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c>
          <w:tcPr>
            <w:tcW w:w="358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full year ended December 31,</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RMB</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from franchised teahouses</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3,095,866</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2,434,876</w:t>
            </w:r>
          </w:p>
        </w:tc>
        <w:tc>
          <w:tcPr>
            <w:tcW w:w="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348,183</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11,632,374</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11,417,091</w:t>
            </w: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1,632,622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company-owned teahouses</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238,560</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539,609</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77,163</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773,208</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1,490,316</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213,112</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3,334,426</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2,974,485</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425,346</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12,405,582</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12,907,407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1,845,734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 storage and logistics*</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(1,614,343)</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(1,392,607)</w:t>
            </w:r>
          </w:p>
        </w:tc>
        <w:tc>
          <w:tcPr>
            <w:tcW w:w="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(199,140)</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(6,256,744)</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(6,001,463)</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(858,198)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teahouse operating costs</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(163,246)</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(376,774)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(53,878)</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(467,320)</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(989,359)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(182,387)</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(231,416)</w:t>
            </w:r>
          </w:p>
        </w:tc>
        <w:tc>
          <w:tcPr>
            <w:tcW w:w="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(33,092)</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(572,621)</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(756,465)</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(108,173)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(395,656)</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(373,631)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(53,429)</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(1,108,911)</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(1,362,504)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(194,835)</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(336,311)</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(635,606)</w:t>
            </w:r>
          </w:p>
        </w:tc>
        <w:tc>
          <w:tcPr>
            <w:tcW w:w="8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(90,890)</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(1,113,387)</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(2,450,379)</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(350,400)</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(2,691,943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(3,010,034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(430,429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(9,518,983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(11,560,170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(1,653,082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642,483</w:t>
            </w:r>
          </w:p>
        </w:tc>
        <w:tc>
          <w:tcPr>
            <w:tcW w:w="22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(35,549)</w:t>
            </w:r>
          </w:p>
        </w:tc>
        <w:tc>
          <w:tcPr>
            <w:tcW w:w="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(5,083)</w:t>
            </w:r>
          </w:p>
        </w:tc>
        <w:tc>
          <w:tcPr>
            <w:tcW w:w="22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2,886,599</w:t>
            </w:r>
          </w:p>
        </w:tc>
        <w:tc>
          <w:tcPr>
            <w:tcW w:w="2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1,347,237</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192,652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(1,214)</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41,998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6,006</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37,306</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147,494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21,091</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Others, net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60,995</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65,586</w:t>
            </w:r>
          </w:p>
        </w:tc>
        <w:tc>
          <w:tcPr>
            <w:tcW w:w="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9,379</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118,193</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123,355</w:t>
            </w:r>
          </w:p>
        </w:tc>
        <w:tc>
          <w:tcPr>
            <w:tcW w:w="1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17,640</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702,264</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72,035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10,302</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3,042,098</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1,618,086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231,383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(58,129)</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(38,100)</w:t>
            </w:r>
          </w:p>
        </w:tc>
        <w:tc>
          <w:tcPr>
            <w:tcW w:w="8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(5,448)</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(527,507)</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(431,741)</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(61,738)</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644,135</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33,935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4,854</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2,514,591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1,186,345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interests</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(4,004)</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(5,397)</w:t>
            </w:r>
          </w:p>
        </w:tc>
        <w:tc>
          <w:tcPr>
            <w:tcW w:w="8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(772)</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(17,368)</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(15,196)</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Net loss attributable to redeemable non-</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interests</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18,891</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18,891</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659,022</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28,538</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4,082</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2,516,114</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1,171,149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convertible redeemable preferred</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to redemption value</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(16,222)</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(62,000)</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(20,082)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undeclared dividends on convertible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(12,758)</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(51,032)</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(15,702)</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convertible redeemable non-controlling</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to redemption value</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(18,891)</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(18,891)</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39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attributable to ordinary shareholders</w:t>
            </w: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the Company</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611,151</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28,538</w:t>
            </w:r>
          </w:p>
        </w:tc>
        <w:tc>
          <w:tcPr>
            <w:tcW w:w="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4,082</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2,384,191</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1,135,365</w:t>
            </w:r>
          </w:p>
        </w:tc>
        <w:tc>
          <w:tcPr>
            <w:tcW w:w="1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162,355</w:t>
            </w: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used in</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computing net income per share, basic and diluted</w:t>
            </w: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98,743,892</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190,317,407</w:t>
            </w:r>
          </w:p>
        </w:tc>
        <w:tc>
          <w:tcPr>
            <w:tcW w:w="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9"/>
              </w:rPr>
              <w:t>190,317,407</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100,628,189</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162,470,727</w:t>
            </w: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9"/>
              </w:rPr>
              <w:t>162,470,727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98,743,892</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192,703,843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9"/>
              </w:rPr>
              <w:t>192,703,843</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100,628,189</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164,714,666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9"/>
              </w:rPr>
              <w:t>164,714,666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ordinary share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3.69</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0.02</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14.26</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3.69</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0.02</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14.26</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8"/>
        <w:spacing w:after="0" w:line="266" w:lineRule="auto"/>
        <w:tabs>
          <w:tab w:leader="none" w:pos="1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materials, storage and logistics was previously reported separately as (i) cost of materials and (ii) storage and logistics costs. It consists primarily of costs for materials and ingredients used for resale or production, as well as costs incurred for inventory storage and related logistics activities. This reclassification has been applied retrospectively.</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586105</wp:posOffset>
            </wp:positionV>
            <wp:extent cx="89154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c>
          <w:tcPr>
            <w:tcW w:w="35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full year ended December 31,</w:t>
            </w: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9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572,654</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216,480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2,837,656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1,644,101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235,103</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(42,675)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(320,223)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(45,791)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(229,479)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(825,016)</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(117,976)</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(617)</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(1,201,442)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(171,804)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(173,932)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2,046,652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292,667</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equivalents, restricted cash</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12,995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55,630</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178"/>
        </w:trPr>
        <w:tc>
          <w:tcPr>
            <w:tcW w:w="39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restricted cash</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542,357</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(1,249,555)</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2,446,001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2,864,745</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409,653</w:t>
            </w:r>
          </w:p>
        </w:tc>
      </w:tr>
      <w:tr>
        <w:trPr>
          <w:trHeight w:val="194"/>
        </w:trPr>
        <w:tc>
          <w:tcPr>
            <w:tcW w:w="3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restricted cash at the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2"/>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of the period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4,226,324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8,882,981</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1,270,249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2,322,680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4,768,681</w:t>
            </w: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681,912</w:t>
            </w:r>
          </w:p>
        </w:tc>
      </w:tr>
      <w:tr>
        <w:trPr>
          <w:trHeight w:val="174"/>
        </w:trPr>
        <w:tc>
          <w:tcPr>
            <w:tcW w:w="39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and cash equivalents, restricted cash at the</w:t>
            </w: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 of the period</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4,768,681</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7,633,426</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1,091,565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4,768,681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7,633,426</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1,091,565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586105</wp:posOffset>
            </wp:positionV>
            <wp:extent cx="89154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891540" cy="2743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all amounts in thousands, except for share, per share data or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2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c>
          <w:tcPr>
            <w:tcW w:w="358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full year ended December 31,</w:t>
            </w: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9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RMB</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Non-GAAP net income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644,135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33,935</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4,854</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2,514,591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1,186,345</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169,645</w:t>
            </w: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 Share-based compensation expenses*</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66,097</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9,452</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723,538</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103,465</w:t>
            </w: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644,135</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100,032</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14,306</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2,515,194</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1,909,883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273,110</w:t>
            </w:r>
          </w:p>
        </w:tc>
        <w:tc>
          <w:tcPr>
            <w:tcW w:w="10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    Non-GAAP net income per ordinary share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w:t>
            </w: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used in computing net income per share, basic</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diluted:</w:t>
            </w:r>
          </w:p>
        </w:tc>
        <w:tc>
          <w:tcPr>
            <w:tcW w:w="104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Basic</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98,743,892</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190,317,407</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190,317,407</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100,628,189</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162,470,727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162,470,727</w:t>
            </w:r>
          </w:p>
        </w:tc>
        <w:tc>
          <w:tcPr>
            <w:tcW w:w="10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98,743,892</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192,703,843</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192,703,843</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100,628,189</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164,714,666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164,714,666</w:t>
            </w:r>
          </w:p>
        </w:tc>
        <w:tc>
          <w:tcPr>
            <w:tcW w:w="100" w:type="dxa"/>
            <w:vAlign w:val="bottom"/>
            <w:shd w:val="clear" w:color="auto" w:fill="CCEEFF"/>
          </w:tcPr>
          <w:p>
            <w:pPr>
              <w:spacing w:after="0"/>
              <w:rPr>
                <w:sz w:val="18"/>
                <w:szCs w:val="18"/>
                <w:color w:val="auto"/>
              </w:rPr>
            </w:pPr>
          </w:p>
        </w:tc>
      </w:tr>
      <w:tr>
        <w:trPr>
          <w:trHeight w:val="209"/>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per ordinary share:</w:t>
            </w: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Basic</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components of the Company’s share-based compensation expenses are as follows (all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2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w:t>
            </w:r>
          </w:p>
        </w:tc>
        <w:tc>
          <w:tcPr>
            <w:tcW w:w="35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full year ended December 31,</w:t>
            </w:r>
          </w:p>
        </w:tc>
      </w:tr>
      <w:tr>
        <w:trPr>
          <w:trHeight w:val="223"/>
        </w:trPr>
        <w:tc>
          <w:tcPr>
            <w:tcW w:w="39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940" w:type="dxa"/>
            <w:vAlign w:val="bottom"/>
          </w:tcPr>
          <w:p>
            <w:pPr>
              <w:spacing w:after="0"/>
              <w:rPr>
                <w:sz w:val="18"/>
                <w:szCs w:val="18"/>
                <w:color w:val="auto"/>
              </w:rPr>
            </w:pP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RMB</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RMB</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(5,884)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(28,628)</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(4,094)</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(9,302)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(50,450)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(7,214)</w:t>
            </w: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(50,911)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(7,281)</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(644,460)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(92,157)</w:t>
            </w:r>
          </w:p>
        </w:tc>
      </w:tr>
      <w:tr>
        <w:trPr>
          <w:trHeight w:val="655"/>
        </w:trPr>
        <w:tc>
          <w:tcPr>
            <w:tcW w:w="3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2026-03-31T06:27:22Z</dcterms:created>
  <dcterms:modified xsi:type="dcterms:W3CDTF">2026-03-31T06:27:22Z</dcterms:modified>
</cp:coreProperties>
</file>